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87295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0" w:firstLine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</w:rPr>
        <w:t>附件1</w:t>
      </w:r>
    </w:p>
    <w:p w14:paraId="668C3AFE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931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-2"/>
          <w:sz w:val="48"/>
          <w:szCs w:val="48"/>
        </w:rPr>
      </w:pPr>
    </w:p>
    <w:p w14:paraId="5BC9A2B6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</w:rPr>
        <w:t>202</w:t>
      </w:r>
      <w:r>
        <w:rPr>
          <w:rFonts w:hint="eastAsia" w:eastAsia="方正小标宋简体" w:cs="Times New Roman"/>
          <w:b w:val="0"/>
          <w:bCs w:val="0"/>
          <w:color w:val="auto"/>
          <w:sz w:val="44"/>
          <w:szCs w:val="44"/>
          <w:lang w:val="en-US" w:eastAsia="zh-CN"/>
        </w:rPr>
        <w:t>4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</w:rPr>
        <w:t>年度安徽省科普统计调查方案</w:t>
      </w:r>
    </w:p>
    <w:p w14:paraId="79A227E8">
      <w:pPr>
        <w:pStyle w:val="3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left="640" w:leftChars="200" w:right="0" w:rightChars="0" w:firstLine="0" w:firstLineChars="0"/>
        <w:textAlignment w:val="auto"/>
        <w:rPr>
          <w:rFonts w:hint="default" w:ascii="Times New Roman" w:hAnsi="Times New Roman" w:cs="Times New Roman"/>
          <w:b w:val="0"/>
          <w:bCs w:val="0"/>
          <w:color w:val="auto"/>
        </w:rPr>
      </w:pPr>
    </w:p>
    <w:p w14:paraId="0721A6C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cs="Times New Roman"/>
          <w:b w:val="0"/>
          <w:bCs w:val="0"/>
          <w:snapToGrid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cs="Times New Roman"/>
          <w:b w:val="0"/>
          <w:bCs w:val="0"/>
          <w:snapToGrid w:val="0"/>
          <w:color w:val="auto"/>
          <w:spacing w:val="0"/>
          <w:kern w:val="0"/>
          <w:sz w:val="32"/>
        </w:rPr>
        <w:t>一、科普统计的内容和任务</w:t>
      </w:r>
    </w:p>
    <w:p w14:paraId="6C4EDA2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科普统计是国家科技统计的重要组成部分。通过开展全国科普统计调查，可以使政府管理部门及时掌握国家科普资源概况，更好地监测国家科普工作质量，为政府制定科普政策提供依据。科普统计的内容包括：科普人员、科普场地、科普经费、科普传媒、科普活动以及科学教育6个方面。</w:t>
      </w:r>
    </w:p>
    <w:p w14:paraId="1A09726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cs="Times New Roman"/>
          <w:b w:val="0"/>
          <w:bCs w:val="0"/>
          <w:snapToGrid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cs="Times New Roman"/>
          <w:b w:val="0"/>
          <w:bCs w:val="0"/>
          <w:snapToGrid w:val="0"/>
          <w:color w:val="auto"/>
          <w:spacing w:val="0"/>
          <w:kern w:val="0"/>
          <w:sz w:val="32"/>
        </w:rPr>
        <w:t>二、科普统计的范围</w:t>
      </w:r>
    </w:p>
    <w:p w14:paraId="52BBBD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本次统计的范围包括省直有关单位，市、县（区）级党委和人民政府有关部门及其直属单位、社会团体等机构和组织。</w:t>
      </w:r>
    </w:p>
    <w:p w14:paraId="7A963D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统计填报单位主要包括：</w:t>
      </w:r>
    </w:p>
    <w:p w14:paraId="0CC8DE0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省直单位：省委宣传部、省发展改革委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、省教育厅、省科技厅、省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工业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和信息化厅、省民委、省公安厅、省民政厅、省人力资源社会保障厅、省自然资源厅、省生态环境厅、省住房城乡建设厅、省交通运输厅、省农业农村厅、省水利厅、省文化和旅游厅、省卫生健康委、省应急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管理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厅、省国资委、省市场监管局、省广电局、省体育局、省林业局、省粮食和储备局、省药监局、省社科院、省农科院、省地矿局、省气象局、省地震局、省邮政管理局、团省委、省总工会、省妇联、省科协等。</w:t>
      </w:r>
    </w:p>
    <w:p w14:paraId="646032E2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2.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市直单位：市委宣传部、市发展改革委、市教育局、市科技局、市</w:t>
      </w:r>
      <w:r>
        <w:rPr>
          <w:rFonts w:hint="eastAsia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  <w:lang w:val="en-US" w:eastAsia="zh-CN"/>
        </w:rPr>
        <w:t>工业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和信息化局、市公安局、市民政局、市人力资源社会保障局、市自然资源局、市生态环境局、市住房城乡建设局、市交通运输局、市农业农村局、市水务局、市文化和旅游局、市卫生健康委、市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应急局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、市国资委、市市场监管局、市广电局、市体育局、市林业局、市粮食和储备局、市药监局、市气象局、市地震局、市共青团、市工会、市妇联、市科协组织等。</w:t>
      </w:r>
    </w:p>
    <w:p w14:paraId="55E2D1E1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县直单位：县委宣传部、县发展改革委、县教育局、县科技局、县</w:t>
      </w:r>
      <w:r>
        <w:rPr>
          <w:rFonts w:hint="eastAsia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  <w:lang w:val="en-US" w:eastAsia="zh-CN"/>
        </w:rPr>
        <w:t>工业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和信息化局、县公安局、县民政局、县人力资源社会保障局、县自然资源局、县生态环境局、县住房城乡建设局、县交通运输局、县农业农村局、县水务局、县文化和旅游局、县卫生健康委、县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应急局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kern w:val="0"/>
          <w:sz w:val="32"/>
        </w:rPr>
        <w:t>、县国资委、县市场监管局、县广电局、县体育局、县林业局、县粮食和储备局、县药监局、县地震局、县气象局、县共青团、县工会、县妇联、县科协等。</w:t>
      </w:r>
    </w:p>
    <w:p w14:paraId="5D32EF04">
      <w:pPr>
        <w:pStyle w:val="3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  <w:t>三、科普统计的组织</w:t>
      </w:r>
    </w:p>
    <w:p w14:paraId="2FE763A9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1.安徽省科普统计由省科技厅牵头，会同有关部门共同组织实施，省科技情报</w:t>
      </w:r>
      <w:r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研究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所具体负责。</w:t>
      </w:r>
    </w:p>
    <w:p w14:paraId="5ED9F180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2.各市、县（区）科技行政主管部门牵头组织本行政区域内各单位的科普统计。</w:t>
      </w:r>
    </w:p>
    <w:p w14:paraId="738E069F">
      <w:pPr>
        <w:pStyle w:val="3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  <w:t>四、科普统计的工作方式</w:t>
      </w:r>
    </w:p>
    <w:p w14:paraId="47A2485C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安徽科普统计按省、市、县（区）分级实施，采取条块结合的方式。</w:t>
      </w:r>
    </w:p>
    <w:p w14:paraId="71F549C8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1.省科技厅负责本省科普统计。包括：向本省同级有关部门、所属各市科技局布置科普统计任务，对统计人员在线填报指导，审核数据；将本省已填报的数据汇总后盖章的纸质调查表报送科技部。</w:t>
      </w:r>
    </w:p>
    <w:p w14:paraId="4586D552">
      <w:pPr>
        <w:keepNext w:val="0"/>
        <w:keepLines w:val="0"/>
        <w:pageBreakBefore w:val="0"/>
        <w:widowControl w:val="0"/>
        <w:kinsoku/>
        <w:overflowPunct/>
        <w:topLine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2.省直有关部门负责本单位及其直属部门的科普统计。包括：向直属机构布置科普统计任务，对统计人员进行指导，审核数据；将本部门已填报的数据汇总后盖章的纸质调查表报送省科技厅。</w:t>
      </w:r>
    </w:p>
    <w:p w14:paraId="0F829641">
      <w:pPr>
        <w:keepNext w:val="0"/>
        <w:keepLines w:val="0"/>
        <w:pageBreakBefore w:val="0"/>
        <w:widowControl w:val="0"/>
        <w:kinsoku/>
        <w:overflowPunct/>
        <w:topLine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3.市科技局负责本市科普统计。包括：向本市同级有关部门、所属县科技局布置科普统计任务，对统计人员进行指导，审核数据；将本市已填报的数据汇总后盖章的纸质调查表报送省科技厅。</w:t>
      </w:r>
    </w:p>
    <w:p w14:paraId="69E3862D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4.县科技行政管理部门负责本县科普统计。包括：向本县同级有关部门布置科普统计任务，对统计人员进行指导，审核数据；将本县已填报的数据汇总后盖章的纸质调查表报送市科技局。</w:t>
      </w:r>
    </w:p>
    <w:p w14:paraId="14E02BEF">
      <w:pPr>
        <w:pStyle w:val="3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  <w:t>五、在线填报系统</w:t>
      </w:r>
    </w:p>
    <w:p w14:paraId="0798CFDF">
      <w:pPr>
        <w:keepNext w:val="0"/>
        <w:keepLines w:val="0"/>
        <w:pageBreakBefore w:val="0"/>
        <w:widowControl w:val="0"/>
        <w:kinsoku/>
        <w:wordWrap w:val="0"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202</w:t>
      </w:r>
      <w:r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年度全国科普统计工作实行数据在线填报，各填报单位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在科普统计信息管理系统（http://kptj.istic.ac.cn）登录填报、审核、提交数据。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0"/>
          <w:sz w:val="32"/>
        </w:rPr>
        <w:t>科普统计培训PPT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0"/>
          <w:sz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0"/>
          <w:sz w:val="32"/>
        </w:rPr>
        <w:t>培训教材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0"/>
          <w:sz w:val="32"/>
          <w:lang w:eastAsia="zh-CN"/>
        </w:rPr>
        <w:t>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常见问题解答</w:t>
      </w:r>
      <w:r>
        <w:rPr>
          <w:rFonts w:hint="default" w:ascii="Times New Roman" w:hAnsi="Times New Roman" w:eastAsia="方正仿宋_GBK" w:cs="Times New Roman"/>
          <w:color w:val="auto"/>
          <w:spacing w:val="0"/>
          <w:kern w:val="0"/>
          <w:sz w:val="32"/>
        </w:rPr>
        <w:t>可在科普统计信息管理系统下载。</w:t>
      </w:r>
    </w:p>
    <w:p w14:paraId="5EF452E7">
      <w:pPr>
        <w:pStyle w:val="3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  <w:t>六、填报时间</w:t>
      </w:r>
    </w:p>
    <w:p w14:paraId="5C053F7F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202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年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月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lang w:val="en-US" w:eastAsia="zh-CN"/>
        </w:rPr>
        <w:t>31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日前，各市、各部门完成在线填报及数据的审核、汇总与提交。</w:t>
      </w:r>
    </w:p>
    <w:p w14:paraId="2C4259DF">
      <w:pPr>
        <w:pStyle w:val="3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  <w:t>七、数据的修正和反馈</w:t>
      </w:r>
      <w:r>
        <w:rPr>
          <w:rFonts w:hint="default" w:ascii="Times New Roman" w:hAnsi="Times New Roman" w:cs="Times New Roman"/>
          <w:b w:val="0"/>
          <w:bCs w:val="0"/>
          <w:color w:val="auto"/>
          <w:spacing w:val="0"/>
          <w:kern w:val="0"/>
          <w:sz w:val="32"/>
        </w:rPr>
        <w:tab/>
      </w:r>
    </w:p>
    <w:p w14:paraId="5EECF151">
      <w:pPr>
        <w:pStyle w:val="3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560" w:lineRule="exact"/>
        <w:ind w:right="0" w:rightChars="0" w:firstLine="616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  <w:t>全省科普统计数据填报完成后，省科技厅将对填报数据进行审核，就上报数据质量进行评估。对数据质量存在问题的，将要求进行核实和修正。</w:t>
      </w:r>
    </w:p>
    <w:p w14:paraId="3CD4A26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kern w:val="0"/>
          <w:sz w:val="32"/>
          <w:szCs w:val="32"/>
          <w:lang w:val="en-US" w:eastAsia="zh-CN" w:bidi="ar-SA"/>
        </w:rPr>
        <w:t>八、注意事项</w:t>
      </w:r>
    </w:p>
    <w:p w14:paraId="1FDADC5E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1</w:t>
      </w:r>
      <w:r>
        <w:rPr>
          <w:rFonts w:hint="default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.各单位在登录科普统计信息管理系统后，应当第一时间修改账号密码，防止单位账号信息泄露或被他人错填、误填。各单位的登录账号和初始密码信息请见《科普统计在线填报系统的简单使用说明》。</w:t>
      </w:r>
    </w:p>
    <w:p w14:paraId="76E4227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2</w:t>
      </w:r>
      <w:r>
        <w:rPr>
          <w:rFonts w:hint="default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.凡在“科普场地”报表中填写“科普场馆”数据的单位，需确保该场馆的数据单独填报，即该“科普场馆”如果有涉及科普人员、科普场地、科普经费、科普传媒、科普活动、科学教育的数据，均应当单独填报，不得与单位的其他数据汇总后填报。</w:t>
      </w:r>
      <w:r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如有多个科普场馆，则每个科普场馆都需要单独建立账号填报。</w:t>
      </w:r>
    </w:p>
    <w:p w14:paraId="02D50234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3</w:t>
      </w:r>
      <w:r>
        <w:rPr>
          <w:rFonts w:hint="default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.各单位在填报数据时应当注意“时期数据”和“时点数据”的差别，“时点数据”指的是截止到202</w:t>
      </w:r>
      <w:r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4</w:t>
      </w:r>
      <w:r>
        <w:rPr>
          <w:rFonts w:hint="default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年12月31日，本单位该指标的总量数据；“时期数据”指的是202</w:t>
      </w:r>
      <w:r>
        <w:rPr>
          <w:rFonts w:hint="eastAsia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4</w:t>
      </w:r>
      <w:r>
        <w:rPr>
          <w:rFonts w:hint="default" w:eastAsia="方正仿宋_GBK" w:cs="Times New Roman"/>
          <w:b w:val="0"/>
          <w:bCs w:val="0"/>
          <w:color w:val="auto"/>
          <w:spacing w:val="0"/>
          <w:kern w:val="0"/>
          <w:sz w:val="32"/>
          <w:shd w:val="clear" w:color="auto" w:fill="auto"/>
          <w:lang w:val="en-US" w:eastAsia="zh-CN"/>
        </w:rPr>
        <w:t>年1月1日至12月31日期间内本单位该指标增量数据。</w:t>
      </w:r>
    </w:p>
    <w:p w14:paraId="774122F7">
      <w:pPr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</w:pPr>
      <w:r>
        <w:rPr>
          <w:rFonts w:hint="default" w:ascii="Times New Roman" w:hAnsi="Times New Roman" w:eastAsia="方正仿宋_GBK" w:cs="Times New Roman"/>
          <w:color w:val="auto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color w:val="auto"/>
          <w:szCs w:val="32"/>
        </w:rPr>
        <w:t>任何单项数据较往年有明显变化，一定要在备注中说明。要注意各表之间的数据平衡及逻辑合理问题。</w:t>
      </w:r>
    </w:p>
    <w:p w14:paraId="0E57695A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</w:rPr>
      </w:pPr>
    </w:p>
    <w:p w14:paraId="5AD22C6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36" w:lineRule="auto"/>
        <w:ind w:firstLine="640"/>
      </w:pPr>
      <w:r>
        <w:separator/>
      </w:r>
    </w:p>
  </w:footnote>
  <w:footnote w:type="continuationSeparator" w:id="1">
    <w:p>
      <w:pPr>
        <w:spacing w:line="336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05C37A"/>
    <w:multiLevelType w:val="singleLevel"/>
    <w:tmpl w:val="6605C37A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C70819"/>
    <w:rsid w:val="08C7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36" w:lineRule="auto"/>
      <w:ind w:firstLine="616" w:firstLineChars="200"/>
      <w:jc w:val="both"/>
      <w:outlineLvl w:val="9"/>
    </w:pPr>
    <w:rPr>
      <w:rFonts w:ascii="Times New Roman" w:hAnsi="Times New Roman" w:eastAsia="仿宋_GB2312" w:cs="Times New Roman"/>
      <w:spacing w:val="0"/>
      <w:kern w:val="2"/>
      <w:sz w:val="32"/>
      <w:szCs w:val="32"/>
      <w:lang w:val="en-US" w:eastAsia="zh-CN" w:bidi="ar-SA"/>
    </w:rPr>
  </w:style>
  <w:style w:type="paragraph" w:styleId="3">
    <w:name w:val="heading 1"/>
    <w:next w:val="1"/>
    <w:qFormat/>
    <w:uiPriority w:val="0"/>
    <w:pPr>
      <w:keepNext w:val="0"/>
      <w:keepLines w:val="0"/>
      <w:widowControl w:val="0"/>
      <w:adjustRightInd w:val="0"/>
      <w:snapToGrid w:val="0"/>
      <w:spacing w:before="0" w:beforeLines="0" w:beforeAutospacing="0" w:after="0" w:afterLines="0" w:afterAutospacing="0" w:line="336" w:lineRule="auto"/>
      <w:ind w:firstLine="856" w:firstLineChars="200"/>
      <w:jc w:val="both"/>
      <w:outlineLvl w:val="0"/>
    </w:pPr>
    <w:rPr>
      <w:rFonts w:ascii="Times New Roman" w:hAnsi="Times New Roman" w:eastAsia="黑体" w:cs="Times New Roman"/>
      <w:spacing w:val="6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next w:val="1"/>
    <w:semiHidden/>
    <w:qFormat/>
    <w:uiPriority w:val="99"/>
    <w:pPr>
      <w:widowControl w:val="0"/>
      <w:adjustRightInd w:val="0"/>
      <w:snapToGrid w:val="0"/>
      <w:spacing w:line="336" w:lineRule="auto"/>
      <w:ind w:firstLine="616" w:firstLineChars="200"/>
      <w:jc w:val="both"/>
      <w:outlineLvl w:val="9"/>
    </w:pPr>
    <w:rPr>
      <w:rFonts w:ascii="Times New Roman" w:hAnsi="Times New Roman" w:eastAsia="仿宋_GB2312" w:cs="Times New Roman"/>
      <w:spacing w:val="0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2025-04-14T08:22:00Z</dcterms:created>
  <dc:creator>奈也嘉钨道</dc:creator>
  <cp:lastModifiedBy>奈也嘉钨道</cp:lastModifiedBy>
  <dcterms:modified xsi:type="dcterms:W3CDTF">2025-04-14T08:23:31Z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6F00A57B52F84BAF8DA0D4C280B40C93_11</vt:lpwstr>
  </property>
  <property fmtid="{D5CDD505-2E9C-101B-9397-08002B2CF9AE}" pid="4" name="KSOTemplateDocerSaveRecord">
    <vt:lpwstr>eyJoZGlkIjoiN2Y5YjFhM2YzYjM5OGRhNDhmMTBjZGVlMWMyM2QzYzMiLCJ1c2VySWQiOiIxNjkxNjE1OTQ2In0=</vt:lpwstr>
  </property>
</Properties>
</file>