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DE5098">
      <w:pPr>
        <w:keepNext w:val="0"/>
        <w:keepLines w:val="0"/>
        <w:pageBreakBefore w:val="0"/>
        <w:widowControl w:val="0"/>
        <w:suppressAutoHyphens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both"/>
        <w:textAlignment w:val="auto"/>
        <w:outlineLvl w:val="1"/>
        <w:rPr>
          <w:rFonts w:hint="default" w:ascii="Times New Roman" w:hAnsi="Times New Roman" w:eastAsia="方正黑体_GBK" w:cs="Times New Roman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黑体_GBK" w:cs="Times New Roman"/>
          <w:kern w:val="0"/>
          <w:sz w:val="32"/>
          <w:szCs w:val="32"/>
          <w:lang w:val="en-US" w:eastAsia="zh-CN"/>
        </w:rPr>
        <w:t>附件</w:t>
      </w:r>
    </w:p>
    <w:p w14:paraId="3058B8D3">
      <w:pPr>
        <w:keepNext w:val="0"/>
        <w:keepLines w:val="0"/>
        <w:pageBreakBefore w:val="0"/>
        <w:widowControl w:val="0"/>
        <w:suppressAutoHyphens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both"/>
        <w:textAlignment w:val="auto"/>
        <w:outlineLvl w:val="9"/>
        <w:rPr>
          <w:rFonts w:hint="default" w:ascii="Times New Roman" w:hAnsi="Times New Roman" w:eastAsia="方正黑体_GBK" w:cs="Times New Roman"/>
          <w:kern w:val="0"/>
          <w:sz w:val="32"/>
          <w:szCs w:val="32"/>
          <w:lang w:val="en-US" w:eastAsia="zh-CN"/>
        </w:rPr>
      </w:pPr>
    </w:p>
    <w:p w14:paraId="5D34C4DF">
      <w:pPr>
        <w:keepNext w:val="0"/>
        <w:keepLines w:val="0"/>
        <w:pageBreakBefore w:val="0"/>
        <w:widowControl w:val="0"/>
        <w:suppressAutoHyphens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center"/>
        <w:textAlignment w:val="auto"/>
        <w:outlineLvl w:val="1"/>
        <w:rPr>
          <w:rFonts w:hint="default" w:ascii="Times New Roman" w:hAnsi="Times New Roman" w:eastAsia="方正小标宋_GBK"/>
          <w:b w:val="0"/>
          <w:bCs w:val="0"/>
          <w:color w:val="auto"/>
          <w:spacing w:val="0"/>
          <w:kern w:val="0"/>
          <w:sz w:val="44"/>
          <w:szCs w:val="44"/>
        </w:rPr>
      </w:pPr>
      <w:r>
        <w:rPr>
          <w:rFonts w:hint="default" w:ascii="Times New Roman" w:hAnsi="Times New Roman" w:eastAsia="方正小标宋_GBK"/>
          <w:b w:val="0"/>
          <w:bCs w:val="0"/>
          <w:color w:val="auto"/>
          <w:spacing w:val="0"/>
          <w:kern w:val="0"/>
          <w:sz w:val="44"/>
          <w:szCs w:val="44"/>
        </w:rPr>
        <w:t>打造通用人工智能产业创新和</w:t>
      </w:r>
    </w:p>
    <w:p w14:paraId="35BE8C9A">
      <w:pPr>
        <w:keepNext w:val="0"/>
        <w:keepLines w:val="0"/>
        <w:pageBreakBefore w:val="0"/>
        <w:widowControl w:val="0"/>
        <w:suppressAutoHyphens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center"/>
        <w:textAlignment w:val="auto"/>
        <w:outlineLvl w:val="1"/>
        <w:rPr>
          <w:rFonts w:hint="default" w:ascii="Times New Roman" w:hAnsi="Times New Roman" w:eastAsia="方正楷体_GBK" w:cs="Times New Roman"/>
          <w:b w:val="0"/>
          <w:bCs w:val="0"/>
          <w:color w:val="auto"/>
          <w:spacing w:val="0"/>
          <w:kern w:val="0"/>
          <w:sz w:val="44"/>
          <w:szCs w:val="44"/>
        </w:rPr>
      </w:pPr>
      <w:r>
        <w:rPr>
          <w:rFonts w:hint="default" w:ascii="Times New Roman" w:hAnsi="Times New Roman" w:eastAsia="方正小标宋_GBK"/>
          <w:b w:val="0"/>
          <w:bCs w:val="0"/>
          <w:color w:val="auto"/>
          <w:spacing w:val="0"/>
          <w:kern w:val="0"/>
          <w:sz w:val="44"/>
          <w:szCs w:val="44"/>
        </w:rPr>
        <w:t>应用高地若干政策</w:t>
      </w:r>
      <w:r>
        <w:rPr>
          <w:rFonts w:hint="default" w:ascii="Times New Roman" w:hAnsi="Times New Roman" w:eastAsia="方正楷体_GBK" w:cs="Times New Roman"/>
          <w:b w:val="0"/>
          <w:bCs w:val="0"/>
          <w:color w:val="auto"/>
          <w:spacing w:val="0"/>
          <w:kern w:val="0"/>
          <w:sz w:val="44"/>
          <w:szCs w:val="44"/>
        </w:rPr>
        <w:t>（2</w:t>
      </w:r>
      <w:r>
        <w:rPr>
          <w:rFonts w:hint="default" w:ascii="Times New Roman" w:hAnsi="Times New Roman" w:eastAsia="方正楷体_GBK" w:cs="Times New Roman"/>
          <w:b w:val="0"/>
          <w:bCs w:val="0"/>
          <w:color w:val="auto"/>
          <w:spacing w:val="0"/>
          <w:kern w:val="0"/>
          <w:sz w:val="44"/>
          <w:szCs w:val="44"/>
          <w:lang w:val="en"/>
        </w:rPr>
        <w:t>.0</w:t>
      </w:r>
      <w:r>
        <w:rPr>
          <w:rFonts w:hint="default" w:ascii="Times New Roman" w:hAnsi="Times New Roman" w:eastAsia="方正楷体_GBK" w:cs="Times New Roman"/>
          <w:b w:val="0"/>
          <w:bCs w:val="0"/>
          <w:color w:val="auto"/>
          <w:spacing w:val="0"/>
          <w:kern w:val="0"/>
          <w:sz w:val="44"/>
          <w:szCs w:val="44"/>
        </w:rPr>
        <w:t>版）</w:t>
      </w:r>
    </w:p>
    <w:p w14:paraId="704BF0AD">
      <w:pPr>
        <w:keepNext w:val="0"/>
        <w:keepLines w:val="0"/>
        <w:pageBreakBefore w:val="0"/>
        <w:widowControl w:val="0"/>
        <w:suppressAutoHyphens/>
        <w:kinsoku/>
        <w:wordWrap/>
        <w:overflowPunct/>
        <w:topLinePunct w:val="0"/>
        <w:autoSpaceDE/>
        <w:autoSpaceDN/>
        <w:bidi w:val="0"/>
        <w:adjustRightInd/>
        <w:snapToGrid w:val="0"/>
        <w:spacing w:line="590" w:lineRule="exact"/>
        <w:jc w:val="center"/>
        <w:textAlignment w:val="auto"/>
        <w:rPr>
          <w:rFonts w:hint="eastAsia" w:ascii="方正楷体_GBK" w:hAnsi="方正楷体_GBK" w:eastAsia="方正楷体_GBK" w:cs="方正楷体_GBK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b w:val="0"/>
          <w:bCs w:val="0"/>
          <w:kern w:val="44"/>
          <w:sz w:val="32"/>
          <w:szCs w:val="32"/>
          <w:lang w:val="en-US" w:eastAsia="zh-CN" w:bidi="ar"/>
        </w:rPr>
        <w:t>（征求意见稿）</w:t>
      </w:r>
    </w:p>
    <w:p w14:paraId="6CE53FB9">
      <w:pPr>
        <w:keepNext w:val="0"/>
        <w:keepLines w:val="0"/>
        <w:pageBreakBefore w:val="0"/>
        <w:widowControl w:val="0"/>
        <w:suppressAutoHyphens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center"/>
        <w:textAlignment w:val="auto"/>
        <w:rPr>
          <w:rFonts w:hint="default" w:ascii="Times New Roman" w:hAnsi="Times New Roman" w:eastAsia="方正楷体_GBK" w:cs="Times New Roman"/>
          <w:b w:val="0"/>
          <w:bCs w:val="0"/>
          <w:color w:val="auto"/>
          <w:spacing w:val="0"/>
          <w:kern w:val="0"/>
          <w:sz w:val="32"/>
          <w:szCs w:val="32"/>
          <w:lang w:eastAsia="zh-CN"/>
        </w:rPr>
      </w:pPr>
    </w:p>
    <w:p w14:paraId="7110BE6E">
      <w:pPr>
        <w:keepNext w:val="0"/>
        <w:keepLines w:val="0"/>
        <w:pageBreakBefore w:val="0"/>
        <w:widowControl w:val="0"/>
        <w:suppressAutoHyphens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eastAsia" w:ascii="Times New Roman" w:hAnsi="Times New Roman" w:eastAsia="方正仿宋_GBK"/>
          <w:b w:val="0"/>
          <w:bCs w:val="0"/>
          <w:color w:val="auto"/>
          <w:kern w:val="0"/>
          <w:sz w:val="32"/>
          <w:szCs w:val="32"/>
        </w:rPr>
      </w:pPr>
      <w:r>
        <w:rPr>
          <w:rFonts w:hint="eastAsia" w:ascii="Times New Roman" w:hAnsi="Times New Roman" w:eastAsia="方正仿宋_GBK"/>
          <w:b w:val="0"/>
          <w:bCs w:val="0"/>
          <w:color w:val="auto"/>
          <w:kern w:val="0"/>
          <w:sz w:val="32"/>
          <w:szCs w:val="32"/>
        </w:rPr>
        <w:t>为</w:t>
      </w:r>
      <w:r>
        <w:rPr>
          <w:rFonts w:hint="eastAsia" w:ascii="Times New Roman" w:hAnsi="Times New Roman" w:eastAsia="方正仿宋_GBK"/>
          <w:b w:val="0"/>
          <w:bCs w:val="0"/>
          <w:color w:val="auto"/>
          <w:kern w:val="0"/>
          <w:sz w:val="32"/>
          <w:szCs w:val="32"/>
          <w:lang w:eastAsia="zh-CN"/>
        </w:rPr>
        <w:t>深入贯彻落实《安徽省加快推动“人工智能+”行动方案》</w:t>
      </w:r>
      <w:r>
        <w:rPr>
          <w:rFonts w:hint="eastAsia" w:ascii="Times New Roman" w:hAnsi="Times New Roman" w:eastAsia="方正仿宋_GBK"/>
          <w:b w:val="0"/>
          <w:bCs w:val="0"/>
          <w:color w:val="auto"/>
          <w:kern w:val="0"/>
          <w:sz w:val="32"/>
          <w:szCs w:val="32"/>
        </w:rPr>
        <w:t>，加速</w:t>
      </w:r>
      <w:r>
        <w:rPr>
          <w:rFonts w:hint="eastAsia" w:ascii="Times New Roman" w:hAnsi="Times New Roman" w:eastAsia="方正仿宋_GBK"/>
          <w:b w:val="0"/>
          <w:bCs w:val="0"/>
          <w:color w:val="auto"/>
          <w:kern w:val="0"/>
          <w:sz w:val="32"/>
          <w:szCs w:val="32"/>
          <w:lang w:eastAsia="zh-CN"/>
        </w:rPr>
        <w:t>大模型等人工智能技术</w:t>
      </w:r>
      <w:r>
        <w:rPr>
          <w:rFonts w:hint="eastAsia" w:ascii="Times New Roman" w:hAnsi="Times New Roman" w:eastAsia="方正仿宋_GBK"/>
          <w:b w:val="0"/>
          <w:bCs w:val="0"/>
          <w:color w:val="auto"/>
          <w:kern w:val="0"/>
          <w:sz w:val="32"/>
          <w:szCs w:val="32"/>
        </w:rPr>
        <w:t>赋能千行百业，推动我省率先进入通用人工智能时代，制定如下政策。</w:t>
      </w:r>
    </w:p>
    <w:p w14:paraId="391D165A">
      <w:pPr>
        <w:keepNext w:val="0"/>
        <w:keepLines w:val="0"/>
        <w:pageBreakBefore w:val="0"/>
        <w:widowControl w:val="0"/>
        <w:suppressAutoHyphens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楷体_GBK" w:cs="Times New Roman"/>
          <w:b w:val="0"/>
          <w:bCs w:val="0"/>
          <w:color w:val="auto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Times New Roman" w:hAnsi="Times New Roman" w:eastAsia="方正仿宋_GBK"/>
          <w:b w:val="0"/>
          <w:bCs w:val="0"/>
          <w:color w:val="auto"/>
          <w:kern w:val="0"/>
          <w:sz w:val="32"/>
          <w:szCs w:val="32"/>
          <w:u w:val="none"/>
          <w:lang w:val="en-US" w:eastAsia="zh-CN"/>
        </w:rPr>
        <w:t>1.强化重大应用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kern w:val="0"/>
          <w:sz w:val="32"/>
          <w:szCs w:val="32"/>
          <w:u w:val="none"/>
          <w:lang w:val="en-US" w:eastAsia="zh-CN"/>
        </w:rPr>
        <w:t>场景供给。设立人工智能场景创新项目，支持面向“人工智能+”科技创新、产业升级、公共服务、社会民生等方向开放场景机会，鼓励围绕优势细分行业创设典型场景，每年发布一批应用场景创新重点任务并组织“揭榜挂帅”，对揭榜成功的项目给予不超过场景开发投入的20%、最高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lang w:val="en-US" w:eastAsia="zh-CN"/>
        </w:rPr>
        <w:t>1000万元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kern w:val="0"/>
          <w:sz w:val="32"/>
          <w:szCs w:val="32"/>
          <w:u w:val="none"/>
          <w:lang w:val="en-US" w:eastAsia="zh-CN"/>
        </w:rPr>
        <w:t>支持。支持建设科学研究领域人工智能应用基地，按不超过项目主体当年研发投入的30%，给予最高1000万元支持</w:t>
      </w:r>
      <w:r>
        <w:rPr>
          <w:rFonts w:hint="default" w:ascii="Times New Roman" w:hAnsi="Times New Roman" w:eastAsia="方正楷体_GBK"/>
          <w:b w:val="0"/>
          <w:bCs w:val="0"/>
          <w:color w:val="auto"/>
          <w:kern w:val="0"/>
          <w:sz w:val="32"/>
          <w:szCs w:val="32"/>
          <w:u w:val="none"/>
          <w:lang w:val="en-US" w:eastAsia="zh-CN"/>
        </w:rPr>
        <w:t>。</w:t>
      </w:r>
    </w:p>
    <w:p w14:paraId="5A1EF824">
      <w:pPr>
        <w:keepNext w:val="0"/>
        <w:keepLines w:val="0"/>
        <w:pageBreakBefore w:val="0"/>
        <w:widowControl w:val="0"/>
        <w:numPr>
          <w:ilvl w:val="0"/>
          <w:numId w:val="0"/>
        </w:numPr>
        <w:suppressAutoHyphens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楷体_GBK"/>
          <w:b w:val="0"/>
          <w:bCs w:val="0"/>
          <w:color w:val="auto"/>
          <w:kern w:val="0"/>
          <w:sz w:val="32"/>
          <w:szCs w:val="32"/>
        </w:rPr>
      </w:pPr>
      <w:r>
        <w:rPr>
          <w:rFonts w:hint="eastAsia" w:ascii="Times New Roman" w:hAnsi="Times New Roman" w:eastAsia="方正仿宋_GBK"/>
          <w:b w:val="0"/>
          <w:bCs w:val="0"/>
          <w:color w:val="auto"/>
          <w:kern w:val="0"/>
          <w:sz w:val="32"/>
          <w:szCs w:val="32"/>
          <w:u w:val="none"/>
          <w:lang w:val="en-US" w:eastAsia="zh-CN"/>
        </w:rPr>
        <w:t>2</w:t>
      </w:r>
      <w:r>
        <w:rPr>
          <w:rFonts w:hint="eastAsia" w:ascii="Times New Roman" w:hAnsi="Times New Roman" w:eastAsia="方正仿宋_GBK"/>
          <w:b w:val="0"/>
          <w:bCs w:val="0"/>
          <w:color w:val="auto"/>
          <w:kern w:val="0"/>
          <w:sz w:val="32"/>
          <w:szCs w:val="32"/>
          <w:lang w:val="en-US" w:eastAsia="zh-CN"/>
        </w:rPr>
        <w:t>.</w:t>
      </w:r>
      <w:r>
        <w:rPr>
          <w:rFonts w:hint="eastAsia" w:ascii="Times New Roman" w:hAnsi="Times New Roman" w:eastAsia="方正仿宋_GBK"/>
          <w:b w:val="0"/>
          <w:bCs w:val="0"/>
          <w:color w:val="auto"/>
          <w:kern w:val="0"/>
          <w:sz w:val="32"/>
          <w:szCs w:val="32"/>
          <w:lang w:eastAsia="zh-CN"/>
        </w:rPr>
        <w:t>促进垂类模型应用</w:t>
      </w:r>
      <w:r>
        <w:rPr>
          <w:rFonts w:hint="eastAsia" w:ascii="Times New Roman" w:hAnsi="Times New Roman" w:eastAsia="方正仿宋_GBK"/>
          <w:b w:val="0"/>
          <w:bCs w:val="0"/>
          <w:color w:val="auto"/>
          <w:kern w:val="0"/>
          <w:sz w:val="32"/>
          <w:szCs w:val="32"/>
        </w:rPr>
        <w:t>。开展省级“十大”通用人工智能场景应用标杆评比，对评选优秀的案例给予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kern w:val="0"/>
          <w:sz w:val="32"/>
          <w:szCs w:val="32"/>
          <w:u w:val="none"/>
          <w:lang w:val="en-US" w:eastAsia="zh-CN" w:bidi="ar-SA"/>
        </w:rPr>
        <w:t>场景开发投入的20%</w:t>
      </w:r>
      <w:r>
        <w:rPr>
          <w:rFonts w:hint="eastAsia" w:ascii="Times New Roman" w:hAnsi="Times New Roman" w:eastAsia="方正仿宋_GBK"/>
          <w:b w:val="0"/>
          <w:bCs w:val="0"/>
          <w:color w:val="auto"/>
          <w:kern w:val="0"/>
          <w:sz w:val="32"/>
          <w:szCs w:val="32"/>
        </w:rPr>
        <w:t>、最高100万元支持</w:t>
      </w:r>
      <w:r>
        <w:rPr>
          <w:rFonts w:hint="eastAsia" w:ascii="Times New Roman" w:hAnsi="Times New Roman" w:eastAsia="方正仿宋_GBK"/>
          <w:b w:val="0"/>
          <w:bCs w:val="0"/>
          <w:color w:val="auto"/>
          <w:kern w:val="0"/>
          <w:sz w:val="32"/>
          <w:szCs w:val="32"/>
          <w:lang w:eastAsia="zh-CN"/>
        </w:rPr>
        <w:t>，同等条件下优先推荐申报</w:t>
      </w:r>
      <w:r>
        <w:rPr>
          <w:rFonts w:hint="eastAsia" w:ascii="Times New Roman" w:hAnsi="Times New Roman" w:eastAsia="方正仿宋_GBK"/>
          <w:b w:val="0"/>
          <w:bCs w:val="0"/>
          <w:color w:val="auto"/>
          <w:kern w:val="0"/>
          <w:sz w:val="32"/>
          <w:szCs w:val="32"/>
          <w:lang w:val="en-US" w:eastAsia="zh-CN"/>
        </w:rPr>
        <w:t>国家级</w:t>
      </w:r>
      <w:r>
        <w:rPr>
          <w:rFonts w:hint="eastAsia" w:ascii="Times New Roman" w:hAnsi="Times New Roman" w:eastAsia="方正仿宋_GBK"/>
          <w:b w:val="0"/>
          <w:bCs w:val="0"/>
          <w:color w:val="auto"/>
          <w:kern w:val="0"/>
          <w:sz w:val="32"/>
          <w:szCs w:val="32"/>
          <w:lang w:eastAsia="zh-CN"/>
        </w:rPr>
        <w:t>人工智能示范应用场景。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kern w:val="0"/>
          <w:sz w:val="32"/>
          <w:szCs w:val="32"/>
          <w:u w:val="none"/>
          <w:lang w:val="en-US" w:eastAsia="zh-CN"/>
        </w:rPr>
        <w:t>本项政策条款与第1条中应用场景揭榜项目</w:t>
      </w:r>
      <w:r>
        <w:rPr>
          <w:rFonts w:hint="eastAsia" w:ascii="Times New Roman" w:hAnsi="Times New Roman" w:eastAsia="方正仿宋_GBK"/>
          <w:b w:val="0"/>
          <w:bCs w:val="0"/>
          <w:color w:val="auto"/>
          <w:kern w:val="0"/>
          <w:sz w:val="32"/>
          <w:szCs w:val="32"/>
          <w:lang w:eastAsia="zh-CN"/>
        </w:rPr>
        <w:t>政策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kern w:val="0"/>
          <w:sz w:val="32"/>
          <w:szCs w:val="32"/>
          <w:u w:val="none"/>
          <w:lang w:val="en-US" w:eastAsia="zh-CN"/>
        </w:rPr>
        <w:t>不重复资金支持。</w:t>
      </w:r>
      <w:r>
        <w:rPr>
          <w:rFonts w:hint="eastAsia" w:ascii="Times New Roman" w:hAnsi="Times New Roman" w:eastAsia="方正仿宋_GBK"/>
          <w:b w:val="0"/>
          <w:bCs w:val="0"/>
          <w:color w:val="auto"/>
          <w:kern w:val="0"/>
          <w:sz w:val="32"/>
          <w:szCs w:val="32"/>
        </w:rPr>
        <w:t>对通用人工智能创新产品，支持申报省“三首”产品，</w:t>
      </w:r>
      <w:r>
        <w:rPr>
          <w:rFonts w:hint="eastAsia" w:ascii="Times New Roman" w:hAnsi="Times New Roman" w:eastAsia="方正仿宋_GBK"/>
          <w:b w:val="0"/>
          <w:bCs w:val="0"/>
          <w:color w:val="auto"/>
          <w:kern w:val="0"/>
          <w:sz w:val="32"/>
          <w:szCs w:val="32"/>
          <w:lang w:val="en-US" w:eastAsia="zh-CN"/>
        </w:rPr>
        <w:t>对符合条件的，</w:t>
      </w:r>
      <w:r>
        <w:rPr>
          <w:rFonts w:hint="eastAsia" w:ascii="Times New Roman" w:hAnsi="Times New Roman" w:eastAsia="方正仿宋_GBK"/>
          <w:b w:val="0"/>
          <w:bCs w:val="0"/>
          <w:color w:val="auto"/>
          <w:kern w:val="0"/>
          <w:sz w:val="32"/>
          <w:szCs w:val="32"/>
        </w:rPr>
        <w:t>在招投标和政府采购中可采用首购、订购等方式采购，促进产品研发和示范应用。</w:t>
      </w:r>
    </w:p>
    <w:p w14:paraId="09F7C2E7">
      <w:pPr>
        <w:keepNext w:val="0"/>
        <w:keepLines w:val="0"/>
        <w:pageBreakBefore w:val="0"/>
        <w:widowControl w:val="0"/>
        <w:suppressAutoHyphens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黑体_GBK"/>
          <w:b w:val="0"/>
          <w:bCs w:val="0"/>
          <w:color w:val="auto"/>
          <w:kern w:val="0"/>
          <w:sz w:val="32"/>
          <w:szCs w:val="32"/>
        </w:rPr>
      </w:pPr>
      <w:r>
        <w:rPr>
          <w:rFonts w:hint="eastAsia" w:ascii="Times New Roman" w:hAnsi="Times New Roman" w:eastAsia="方正仿宋_GBK"/>
          <w:b w:val="0"/>
          <w:bCs w:val="0"/>
          <w:color w:val="auto"/>
          <w:kern w:val="0"/>
          <w:sz w:val="32"/>
          <w:szCs w:val="32"/>
          <w:lang w:val="en-US" w:eastAsia="zh-CN"/>
        </w:rPr>
        <w:t>3.降低算力使用成本</w:t>
      </w:r>
      <w:r>
        <w:rPr>
          <w:rFonts w:hint="eastAsia" w:ascii="Times New Roman" w:hAnsi="Times New Roman" w:eastAsia="方正仿宋_GBK"/>
          <w:b w:val="0"/>
          <w:bCs w:val="0"/>
          <w:color w:val="auto"/>
          <w:kern w:val="0"/>
          <w:sz w:val="32"/>
          <w:szCs w:val="32"/>
        </w:rPr>
        <w:t>。</w:t>
      </w:r>
      <w:r>
        <w:rPr>
          <w:rFonts w:hint="eastAsia" w:ascii="Times New Roman" w:hAnsi="Times New Roman" w:eastAsia="方正仿宋_GBK"/>
          <w:b w:val="0"/>
          <w:bCs w:val="0"/>
          <w:color w:val="auto"/>
          <w:kern w:val="0"/>
          <w:sz w:val="32"/>
          <w:szCs w:val="32"/>
          <w:lang w:val="en-US" w:eastAsia="zh-CN"/>
        </w:rPr>
        <w:t>升级完善</w:t>
      </w:r>
      <w:r>
        <w:rPr>
          <w:rFonts w:hint="eastAsia" w:ascii="Times New Roman" w:hAnsi="Times New Roman" w:eastAsia="方正仿宋_GBK"/>
          <w:b w:val="0"/>
          <w:bCs w:val="0"/>
          <w:color w:val="auto"/>
          <w:kern w:val="0"/>
          <w:sz w:val="32"/>
          <w:szCs w:val="32"/>
        </w:rPr>
        <w:t>省级智能算力统筹调度平台。</w:t>
      </w:r>
      <w:r>
        <w:rPr>
          <w:rFonts w:hint="eastAsia" w:ascii="Times New Roman" w:hAnsi="Times New Roman" w:eastAsia="方正仿宋_GBK"/>
          <w:b w:val="0"/>
          <w:bCs w:val="0"/>
          <w:color w:val="auto"/>
          <w:kern w:val="0"/>
          <w:sz w:val="32"/>
          <w:szCs w:val="32"/>
          <w:u w:val="none"/>
        </w:rPr>
        <w:t>鼓励企业、高校院所利用省内智能算力资源开展科技创新</w:t>
      </w:r>
      <w:r>
        <w:rPr>
          <w:rFonts w:hint="eastAsia" w:ascii="Times New Roman" w:hAnsi="Times New Roman" w:eastAsia="方正仿宋_GBK"/>
          <w:b w:val="0"/>
          <w:bCs w:val="0"/>
          <w:color w:val="auto"/>
          <w:kern w:val="0"/>
          <w:sz w:val="32"/>
          <w:szCs w:val="32"/>
          <w:u w:val="none"/>
          <w:lang w:val="en-US" w:eastAsia="zh-CN"/>
        </w:rPr>
        <w:t>，</w:t>
      </w:r>
      <w:r>
        <w:rPr>
          <w:rFonts w:hint="eastAsia" w:ascii="Times New Roman" w:hAnsi="Times New Roman" w:eastAsia="方正仿宋_GBK"/>
          <w:b w:val="0"/>
          <w:bCs w:val="0"/>
          <w:color w:val="auto"/>
          <w:kern w:val="0"/>
          <w:sz w:val="32"/>
          <w:szCs w:val="32"/>
          <w:u w:val="none"/>
        </w:rPr>
        <w:t>省级根据调度平台中算力实际使用量，</w:t>
      </w:r>
      <w:r>
        <w:rPr>
          <w:rFonts w:hint="eastAsia" w:ascii="Times New Roman" w:hAnsi="Times New Roman" w:eastAsia="方正仿宋_GBK"/>
          <w:b w:val="0"/>
          <w:bCs w:val="0"/>
          <w:color w:val="auto"/>
          <w:kern w:val="0"/>
          <w:sz w:val="32"/>
          <w:szCs w:val="32"/>
        </w:rPr>
        <w:t>对在皖企业、高校院所等算力使用方（自建自用除外）给予不超过算力总支出20%</w:t>
      </w:r>
      <w:r>
        <w:rPr>
          <w:rFonts w:hint="eastAsia" w:ascii="Times New Roman" w:hAnsi="Times New Roman" w:eastAsia="方正仿宋_GBK"/>
          <w:b w:val="0"/>
          <w:bCs w:val="0"/>
          <w:color w:val="auto"/>
          <w:kern w:val="0"/>
          <w:sz w:val="32"/>
          <w:szCs w:val="32"/>
          <w:lang w:eastAsia="zh-CN"/>
        </w:rPr>
        <w:t>的</w:t>
      </w:r>
      <w:r>
        <w:rPr>
          <w:rFonts w:hint="eastAsia" w:ascii="Times New Roman" w:hAnsi="Times New Roman" w:eastAsia="方正仿宋_GBK"/>
          <w:b w:val="0"/>
          <w:bCs w:val="0"/>
          <w:color w:val="auto"/>
          <w:kern w:val="0"/>
          <w:sz w:val="32"/>
          <w:szCs w:val="32"/>
          <w:lang w:val="en-US" w:eastAsia="zh-CN"/>
        </w:rPr>
        <w:t>支持</w:t>
      </w:r>
      <w:r>
        <w:rPr>
          <w:rFonts w:hint="eastAsia" w:ascii="Times New Roman" w:hAnsi="Times New Roman" w:eastAsia="方正仿宋_GBK"/>
          <w:b w:val="0"/>
          <w:bCs w:val="0"/>
          <w:color w:val="auto"/>
          <w:kern w:val="0"/>
          <w:sz w:val="32"/>
          <w:szCs w:val="32"/>
        </w:rPr>
        <w:t>。</w:t>
      </w:r>
    </w:p>
    <w:p w14:paraId="45D39AC7">
      <w:pPr>
        <w:keepNext w:val="0"/>
        <w:keepLines w:val="0"/>
        <w:pageBreakBefore w:val="0"/>
        <w:widowControl w:val="0"/>
        <w:suppressAutoHyphens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黑体_GBK"/>
          <w:b w:val="0"/>
          <w:bCs w:val="0"/>
          <w:color w:val="auto"/>
          <w:kern w:val="0"/>
          <w:sz w:val="32"/>
          <w:szCs w:val="32"/>
        </w:rPr>
      </w:pPr>
      <w:r>
        <w:rPr>
          <w:rFonts w:hint="eastAsia" w:ascii="Times New Roman" w:hAnsi="Times New Roman" w:eastAsia="方正仿宋_GBK"/>
          <w:b w:val="0"/>
          <w:bCs w:val="0"/>
          <w:color w:val="auto"/>
          <w:kern w:val="0"/>
          <w:sz w:val="32"/>
          <w:szCs w:val="32"/>
          <w:lang w:val="en-US" w:eastAsia="zh-CN"/>
        </w:rPr>
        <w:t>4.</w:t>
      </w:r>
      <w:r>
        <w:rPr>
          <w:rFonts w:hint="eastAsia" w:ascii="Times New Roman" w:hAnsi="Times New Roman" w:eastAsia="方正仿宋_GBK"/>
          <w:b w:val="0"/>
          <w:bCs w:val="0"/>
          <w:color w:val="auto"/>
          <w:kern w:val="0"/>
          <w:sz w:val="32"/>
          <w:szCs w:val="32"/>
        </w:rPr>
        <w:t>强化关键核心技术攻关。通过“揭榜挂帅”、“赛马”、定向委托等方式，在省级科技计划</w:t>
      </w:r>
      <w:r>
        <w:rPr>
          <w:rFonts w:hint="eastAsia" w:ascii="Times New Roman" w:hAnsi="Times New Roman" w:eastAsia="方正仿宋_GBK"/>
          <w:b w:val="0"/>
          <w:bCs w:val="0"/>
          <w:color w:val="auto"/>
          <w:kern w:val="0"/>
          <w:sz w:val="32"/>
          <w:szCs w:val="32"/>
          <w:lang w:val="en-US" w:eastAsia="zh-CN"/>
        </w:rPr>
        <w:t>项目</w:t>
      </w:r>
      <w:r>
        <w:rPr>
          <w:rFonts w:hint="eastAsia" w:ascii="Times New Roman" w:hAnsi="Times New Roman" w:eastAsia="方正仿宋_GBK"/>
          <w:b w:val="0"/>
          <w:bCs w:val="0"/>
          <w:color w:val="auto"/>
          <w:kern w:val="0"/>
          <w:sz w:val="32"/>
          <w:szCs w:val="32"/>
        </w:rPr>
        <w:t>中支持通用大模型、</w:t>
      </w:r>
      <w:r>
        <w:rPr>
          <w:rFonts w:hint="eastAsia" w:ascii="Times New Roman" w:hAnsi="Times New Roman" w:eastAsia="方正仿宋_GBK"/>
          <w:b w:val="0"/>
          <w:bCs w:val="0"/>
          <w:color w:val="auto"/>
          <w:kern w:val="0"/>
          <w:sz w:val="32"/>
          <w:szCs w:val="32"/>
          <w:lang w:val="en-US" w:eastAsia="zh-CN"/>
        </w:rPr>
        <w:t>垂类</w:t>
      </w:r>
      <w:r>
        <w:rPr>
          <w:rFonts w:hint="eastAsia" w:ascii="Times New Roman" w:hAnsi="Times New Roman" w:eastAsia="方正仿宋_GBK"/>
          <w:b w:val="0"/>
          <w:bCs w:val="0"/>
          <w:color w:val="auto"/>
          <w:kern w:val="0"/>
          <w:sz w:val="32"/>
          <w:szCs w:val="32"/>
        </w:rPr>
        <w:t>模型</w:t>
      </w:r>
      <w:r>
        <w:rPr>
          <w:rFonts w:hint="eastAsia" w:ascii="Times New Roman" w:hAnsi="Times New Roman" w:eastAsia="方正仿宋_GBK"/>
          <w:b w:val="0"/>
          <w:bCs w:val="0"/>
          <w:color w:val="auto"/>
          <w:kern w:val="0"/>
          <w:sz w:val="32"/>
          <w:szCs w:val="32"/>
          <w:lang w:eastAsia="zh-CN"/>
        </w:rPr>
        <w:t>、</w:t>
      </w:r>
      <w:r>
        <w:rPr>
          <w:rFonts w:hint="eastAsia" w:ascii="Times New Roman" w:hAnsi="Times New Roman" w:eastAsia="方正仿宋_GBK"/>
          <w:b w:val="0"/>
          <w:bCs w:val="0"/>
          <w:color w:val="auto"/>
          <w:kern w:val="0"/>
          <w:sz w:val="32"/>
          <w:szCs w:val="32"/>
          <w:lang w:val="en-US" w:eastAsia="zh-CN"/>
        </w:rPr>
        <w:t>数据标注创新</w:t>
      </w:r>
      <w:r>
        <w:rPr>
          <w:rFonts w:hint="eastAsia" w:ascii="Times New Roman" w:hAnsi="Times New Roman" w:eastAsia="方正仿宋_GBK"/>
          <w:b w:val="0"/>
          <w:bCs w:val="0"/>
          <w:color w:val="auto"/>
          <w:kern w:val="0"/>
          <w:sz w:val="32"/>
          <w:szCs w:val="32"/>
        </w:rPr>
        <w:t>、安全可控技术以及通用人工智能其他路径探索的应用研究。</w:t>
      </w:r>
      <w:r>
        <w:rPr>
          <w:rFonts w:hint="eastAsia" w:ascii="Times New Roman" w:hAnsi="Times New Roman" w:eastAsia="方正仿宋_GBK"/>
          <w:b w:val="0"/>
          <w:bCs w:val="0"/>
          <w:color w:val="auto"/>
          <w:kern w:val="0"/>
          <w:sz w:val="32"/>
          <w:szCs w:val="32"/>
          <w:u w:val="none"/>
          <w:lang w:val="en-US" w:eastAsia="zh-CN"/>
        </w:rPr>
        <w:t>在省自然科学基金中设立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kern w:val="0"/>
          <w:sz w:val="32"/>
          <w:szCs w:val="32"/>
          <w:u w:val="none"/>
          <w:lang w:val="en-US" w:eastAsia="zh-CN"/>
        </w:rPr>
        <w:t>人工智能赋能科学研究项目指南，重点支持青年人才使用AI科研工具开展基础研究。在省科技计划项</w:t>
      </w:r>
      <w:r>
        <w:rPr>
          <w:rFonts w:hint="eastAsia" w:ascii="Times New Roman" w:hAnsi="Times New Roman" w:eastAsia="方正仿宋_GBK"/>
          <w:b w:val="0"/>
          <w:bCs w:val="0"/>
          <w:color w:val="auto"/>
          <w:kern w:val="0"/>
          <w:sz w:val="32"/>
          <w:szCs w:val="32"/>
          <w:u w:val="none"/>
          <w:lang w:val="en-US" w:eastAsia="zh-CN"/>
        </w:rPr>
        <w:t>目设立AI青年科学家项目指南，支持青年科学家开展垂类模型研发、工程化创新和非共识项目等攻关。</w:t>
      </w:r>
    </w:p>
    <w:p w14:paraId="7A056481">
      <w:pPr>
        <w:keepNext w:val="0"/>
        <w:keepLines w:val="0"/>
        <w:pageBreakBefore w:val="0"/>
        <w:widowControl w:val="0"/>
        <w:suppressAutoHyphens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黑体_GBK"/>
          <w:b w:val="0"/>
          <w:bCs w:val="0"/>
          <w:color w:val="auto"/>
          <w:kern w:val="0"/>
          <w:sz w:val="32"/>
          <w:szCs w:val="32"/>
        </w:rPr>
      </w:pPr>
      <w:r>
        <w:rPr>
          <w:rFonts w:hint="eastAsia" w:ascii="Times New Roman" w:hAnsi="Times New Roman" w:eastAsia="方正仿宋_GBK"/>
          <w:b w:val="0"/>
          <w:bCs w:val="0"/>
          <w:color w:val="auto"/>
          <w:kern w:val="0"/>
          <w:sz w:val="32"/>
          <w:szCs w:val="32"/>
          <w:lang w:val="en-US" w:eastAsia="zh-CN"/>
        </w:rPr>
        <w:t>5</w:t>
      </w:r>
      <w:r>
        <w:rPr>
          <w:rFonts w:hint="eastAsia" w:ascii="Times New Roman" w:hAnsi="Times New Roman" w:eastAsia="方正仿宋_GBK"/>
          <w:b w:val="0"/>
          <w:bCs w:val="0"/>
          <w:color w:val="auto"/>
          <w:kern w:val="0"/>
          <w:sz w:val="32"/>
          <w:szCs w:val="32"/>
          <w:lang w:eastAsia="zh-CN"/>
        </w:rPr>
        <w:t>.</w:t>
      </w:r>
      <w:r>
        <w:rPr>
          <w:rFonts w:hint="eastAsia" w:ascii="Times New Roman" w:hAnsi="Times New Roman" w:eastAsia="方正仿宋_GBK"/>
          <w:b w:val="0"/>
          <w:bCs w:val="0"/>
          <w:color w:val="auto"/>
          <w:kern w:val="0"/>
          <w:sz w:val="32"/>
          <w:szCs w:val="32"/>
        </w:rPr>
        <w:t>举办创新应用</w:t>
      </w:r>
      <w:r>
        <w:rPr>
          <w:rFonts w:hint="eastAsia" w:ascii="Times New Roman" w:hAnsi="Times New Roman" w:eastAsia="方正仿宋_GBK"/>
          <w:b w:val="0"/>
          <w:bCs w:val="0"/>
          <w:color w:val="auto"/>
          <w:kern w:val="0"/>
          <w:sz w:val="32"/>
          <w:szCs w:val="32"/>
          <w:lang w:val="en-US" w:eastAsia="zh-CN"/>
        </w:rPr>
        <w:t>活动</w:t>
      </w:r>
      <w:r>
        <w:rPr>
          <w:rFonts w:hint="eastAsia" w:ascii="Times New Roman" w:hAnsi="Times New Roman" w:eastAsia="方正仿宋_GBK"/>
          <w:b w:val="0"/>
          <w:bCs w:val="0"/>
          <w:color w:val="auto"/>
          <w:kern w:val="0"/>
          <w:sz w:val="32"/>
          <w:szCs w:val="32"/>
        </w:rPr>
        <w:t>。举办通用人工智能创新应用全国大赛，努力打造成为全国性著名赛事，对创新能力强、市场前景广、应用成效显著并在皖落地的获奖项目和团队，省市统筹相关基金资金，同等条件下优先给予股权投资、债权投入、人才奖励、大赛奖金等在皖创新创业政策支持，最高支持3000万元。</w:t>
      </w:r>
      <w:r>
        <w:rPr>
          <w:rFonts w:hint="eastAsia" w:ascii="Times New Roman" w:hAnsi="Times New Roman" w:eastAsia="方正仿宋_GBK"/>
          <w:b w:val="0"/>
          <w:bCs w:val="0"/>
          <w:color w:val="auto"/>
          <w:kern w:val="0"/>
          <w:sz w:val="32"/>
          <w:szCs w:val="32"/>
          <w:lang w:val="en-US" w:eastAsia="zh-CN"/>
        </w:rPr>
        <w:t>鼓励国家级学会在皖举办人工智能领域高水平、高规格学术研讨、产学研对接等活动，根据活动规模影响予以支持</w:t>
      </w:r>
      <w:r>
        <w:rPr>
          <w:rFonts w:hint="eastAsia" w:ascii="Times New Roman" w:hAnsi="Times New Roman" w:eastAsia="方正仿宋_GBK" w:cs="Times New Roman"/>
          <w:color w:val="auto"/>
          <w:kern w:val="0"/>
          <w:sz w:val="32"/>
          <w:szCs w:val="32"/>
          <w:u w:val="none"/>
          <w:shd w:val="clear" w:color="auto" w:fill="auto"/>
          <w:lang w:val="en-US" w:eastAsia="zh-CN"/>
        </w:rPr>
        <w:t>。</w:t>
      </w:r>
    </w:p>
    <w:p w14:paraId="0385AA2B">
      <w:pPr>
        <w:keepNext w:val="0"/>
        <w:keepLines w:val="0"/>
        <w:pageBreakBefore w:val="0"/>
        <w:widowControl w:val="0"/>
        <w:suppressAutoHyphens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黑体_GBK"/>
          <w:b w:val="0"/>
          <w:bCs w:val="0"/>
          <w:color w:val="auto"/>
          <w:kern w:val="0"/>
          <w:sz w:val="32"/>
          <w:szCs w:val="32"/>
        </w:rPr>
      </w:pPr>
      <w:r>
        <w:rPr>
          <w:rFonts w:hint="eastAsia" w:ascii="Times New Roman" w:hAnsi="Times New Roman" w:eastAsia="方正仿宋_GBK"/>
          <w:b w:val="0"/>
          <w:bCs w:val="0"/>
          <w:color w:val="auto"/>
          <w:kern w:val="0"/>
          <w:sz w:val="32"/>
          <w:szCs w:val="32"/>
          <w:u w:val="none"/>
          <w:lang w:val="en-US" w:eastAsia="zh-CN"/>
        </w:rPr>
        <w:t>6</w:t>
      </w:r>
      <w:r>
        <w:rPr>
          <w:rFonts w:hint="eastAsia" w:ascii="Times New Roman" w:hAnsi="Times New Roman" w:eastAsia="方正仿宋_GBK"/>
          <w:b w:val="0"/>
          <w:bCs w:val="0"/>
          <w:color w:val="auto"/>
          <w:kern w:val="0"/>
          <w:sz w:val="32"/>
          <w:szCs w:val="32"/>
          <w:lang w:eastAsia="zh-CN"/>
        </w:rPr>
        <w:t>.</w:t>
      </w:r>
      <w:r>
        <w:rPr>
          <w:rFonts w:hint="eastAsia" w:ascii="Times New Roman" w:hAnsi="Times New Roman" w:eastAsia="方正仿宋_GBK"/>
          <w:b w:val="0"/>
          <w:bCs w:val="0"/>
          <w:color w:val="auto"/>
          <w:kern w:val="0"/>
          <w:sz w:val="32"/>
          <w:szCs w:val="32"/>
          <w:lang w:val="en-US" w:eastAsia="zh-CN"/>
        </w:rPr>
        <w:t>支持产业集聚发展</w:t>
      </w:r>
      <w:r>
        <w:rPr>
          <w:rFonts w:hint="eastAsia" w:ascii="Times New Roman" w:hAnsi="Times New Roman" w:eastAsia="方正仿宋_GBK"/>
          <w:b w:val="0"/>
          <w:bCs w:val="0"/>
          <w:color w:val="auto"/>
          <w:kern w:val="0"/>
          <w:sz w:val="32"/>
          <w:szCs w:val="32"/>
        </w:rPr>
        <w:t>。</w:t>
      </w:r>
      <w:r>
        <w:rPr>
          <w:rFonts w:hint="eastAsia" w:ascii="Times New Roman" w:hAnsi="Times New Roman" w:eastAsia="方正仿宋_GBK"/>
          <w:b w:val="0"/>
          <w:bCs w:val="0"/>
          <w:color w:val="auto"/>
          <w:kern w:val="0"/>
          <w:sz w:val="32"/>
          <w:szCs w:val="32"/>
          <w:lang w:val="en-US" w:eastAsia="zh-CN"/>
        </w:rPr>
        <w:t>支持各级人民政府和市场主体建设通用人工智能（含具身智能）产业创新园区，对纳入省级名单的，适时开展园区绩效评价。根据结果分类予以奖励，最高500万元，用于企业培育、平台建设、服务能力提升等。对获得《安徽省支持未来产业发展若干措施》支持且所属领域为“通用智能”的省级未来产业先导区不重复支持。</w:t>
      </w:r>
    </w:p>
    <w:p w14:paraId="62E257B4">
      <w:pPr>
        <w:keepNext w:val="0"/>
        <w:keepLines w:val="0"/>
        <w:pageBreakBefore w:val="0"/>
        <w:widowControl w:val="0"/>
        <w:suppressAutoHyphens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楷体_GBK"/>
          <w:b w:val="0"/>
          <w:bCs w:val="0"/>
          <w:color w:val="auto"/>
          <w:kern w:val="0"/>
          <w:sz w:val="32"/>
          <w:szCs w:val="32"/>
        </w:rPr>
      </w:pPr>
      <w:r>
        <w:rPr>
          <w:rFonts w:hint="default" w:ascii="Times New Roman" w:hAnsi="Times New Roman" w:eastAsia="方正黑体_GBK"/>
          <w:b w:val="0"/>
          <w:bCs w:val="0"/>
          <w:color w:val="auto"/>
          <w:kern w:val="0"/>
          <w:sz w:val="32"/>
          <w:szCs w:val="32"/>
          <w:lang w:val="en-US" w:eastAsia="zh-CN"/>
        </w:rPr>
        <w:t>7</w:t>
      </w:r>
      <w:r>
        <w:rPr>
          <w:rFonts w:hint="eastAsia" w:ascii="Times New Roman" w:hAnsi="Times New Roman" w:eastAsia="方正仿宋_GBK"/>
          <w:b w:val="0"/>
          <w:bCs w:val="0"/>
          <w:color w:val="auto"/>
          <w:kern w:val="0"/>
          <w:sz w:val="32"/>
          <w:szCs w:val="32"/>
          <w:lang w:eastAsia="zh-CN"/>
        </w:rPr>
        <w:t>.</w:t>
      </w:r>
      <w:r>
        <w:rPr>
          <w:rFonts w:hint="eastAsia" w:ascii="Times New Roman" w:hAnsi="Times New Roman" w:eastAsia="方正仿宋_GBK"/>
          <w:b w:val="0"/>
          <w:bCs w:val="0"/>
          <w:color w:val="auto"/>
          <w:kern w:val="0"/>
          <w:sz w:val="32"/>
          <w:szCs w:val="32"/>
        </w:rPr>
        <w:t>强化人才保障。对在皖落地的通用人工智能领域重点企业创始人、核心骨干，开辟高层次人才认定绿色通道。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0"/>
          <w:sz w:val="32"/>
          <w:szCs w:val="32"/>
          <w:lang w:eastAsia="zh-CN"/>
        </w:rPr>
        <w:t>完善人工智能领域人才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0"/>
          <w:sz w:val="32"/>
          <w:szCs w:val="32"/>
          <w:lang w:val="en-US" w:eastAsia="zh-CN"/>
        </w:rPr>
        <w:t>支持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0"/>
          <w:sz w:val="32"/>
          <w:szCs w:val="32"/>
          <w:lang w:eastAsia="zh-CN"/>
        </w:rPr>
        <w:t>政策，加大对青年人才和创新创业团队支持。</w:t>
      </w:r>
    </w:p>
    <w:p w14:paraId="4A52EF1A">
      <w:pPr>
        <w:keepNext w:val="0"/>
        <w:keepLines w:val="0"/>
        <w:pageBreakBefore w:val="0"/>
        <w:widowControl w:val="0"/>
        <w:suppressAutoHyphens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eastAsia" w:ascii="Times New Roman" w:hAnsi="Times New Roman" w:eastAsia="方正仿宋_GBK"/>
          <w:b w:val="0"/>
          <w:bCs w:val="0"/>
          <w:color w:val="auto"/>
          <w:kern w:val="0"/>
          <w:sz w:val="32"/>
          <w:szCs w:val="32"/>
        </w:rPr>
      </w:pPr>
      <w:r>
        <w:rPr>
          <w:rFonts w:hint="eastAsia" w:ascii="Times New Roman" w:hAnsi="Times New Roman" w:eastAsia="方正黑体_GBK"/>
          <w:b w:val="0"/>
          <w:bCs w:val="0"/>
          <w:color w:val="auto"/>
          <w:kern w:val="0"/>
          <w:sz w:val="32"/>
          <w:szCs w:val="32"/>
          <w:lang w:val="en-US" w:eastAsia="zh-CN"/>
        </w:rPr>
        <w:t>8</w:t>
      </w:r>
      <w:r>
        <w:rPr>
          <w:rFonts w:hint="eastAsia" w:ascii="Times New Roman" w:hAnsi="Times New Roman" w:eastAsia="方正黑体_GBK"/>
          <w:b w:val="0"/>
          <w:bCs w:val="0"/>
          <w:color w:val="auto"/>
          <w:kern w:val="0"/>
          <w:sz w:val="32"/>
          <w:szCs w:val="32"/>
          <w:lang w:eastAsia="zh-CN"/>
        </w:rPr>
        <w:t>.</w:t>
      </w:r>
      <w:r>
        <w:rPr>
          <w:rFonts w:hint="eastAsia" w:ascii="Times New Roman" w:hAnsi="Times New Roman" w:eastAsia="方正仿宋_GBK"/>
          <w:b w:val="0"/>
          <w:bCs w:val="0"/>
          <w:color w:val="auto"/>
          <w:kern w:val="0"/>
          <w:sz w:val="32"/>
          <w:szCs w:val="32"/>
        </w:rPr>
        <w:t>构建金融支撑体系。充分发挥财政资金等引导作用，撬动保险、信贷、基金等社会资本投向通用人工智能产业</w:t>
      </w:r>
      <w:r>
        <w:rPr>
          <w:rFonts w:hint="eastAsia" w:ascii="Times New Roman" w:hAnsi="Times New Roman" w:eastAsia="方正仿宋_GBK"/>
          <w:b w:val="0"/>
          <w:bCs w:val="0"/>
          <w:color w:val="auto"/>
          <w:kern w:val="0"/>
          <w:sz w:val="32"/>
          <w:szCs w:val="32"/>
          <w:lang w:eastAsia="zh-CN"/>
        </w:rPr>
        <w:t>。</w:t>
      </w:r>
      <w:r>
        <w:rPr>
          <w:rFonts w:hint="eastAsia" w:ascii="Times New Roman" w:hAnsi="Times New Roman" w:eastAsia="方正仿宋_GBK"/>
          <w:b w:val="0"/>
          <w:bCs w:val="0"/>
          <w:color w:val="auto"/>
          <w:kern w:val="0"/>
          <w:sz w:val="32"/>
          <w:szCs w:val="32"/>
        </w:rPr>
        <w:t>加快运营总规模不低于200亿元的省人工智能产业主题基金，以参股方式支持市国资平台、市场主体等设立通用人工智能领域子基金，满足企业和项目资金需求。</w:t>
      </w:r>
    </w:p>
    <w:p w14:paraId="330B974A">
      <w:pPr>
        <w:keepNext w:val="0"/>
        <w:keepLines w:val="0"/>
        <w:pageBreakBefore w:val="0"/>
        <w:widowControl w:val="0"/>
        <w:numPr>
          <w:ilvl w:val="0"/>
          <w:numId w:val="0"/>
        </w:numPr>
        <w:suppressAutoHyphens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楷体_GBK"/>
          <w:b w:val="0"/>
          <w:bCs w:val="0"/>
          <w:color w:val="auto"/>
          <w:kern w:val="0"/>
          <w:sz w:val="32"/>
          <w:szCs w:val="32"/>
        </w:rPr>
      </w:pPr>
      <w:r>
        <w:rPr>
          <w:rFonts w:hint="eastAsia" w:ascii="Times New Roman" w:hAnsi="Times New Roman" w:eastAsia="方正仿宋_GBK"/>
          <w:b w:val="0"/>
          <w:bCs w:val="0"/>
          <w:color w:val="auto"/>
          <w:kern w:val="0"/>
          <w:sz w:val="32"/>
          <w:szCs w:val="32"/>
          <w:u w:val="none"/>
          <w:lang w:val="en-US" w:eastAsia="zh-CN"/>
        </w:rPr>
        <w:t>9.</w:t>
      </w:r>
      <w:r>
        <w:rPr>
          <w:rFonts w:hint="eastAsia" w:ascii="Times New Roman" w:hAnsi="Times New Roman" w:eastAsia="方正仿宋_GBK"/>
          <w:b w:val="0"/>
          <w:bCs w:val="0"/>
          <w:color w:val="auto"/>
          <w:kern w:val="0"/>
          <w:sz w:val="32"/>
          <w:szCs w:val="32"/>
        </w:rPr>
        <w:t>加大宣传培训力度。以政府购买服务方式组织开展通用人工智能领域重大培训活动、重大推介活动、重大战略咨询研究等，提升全社会认知水平。</w:t>
      </w:r>
    </w:p>
    <w:p w14:paraId="491DBFF2">
      <w:pPr>
        <w:keepNext w:val="0"/>
        <w:keepLines w:val="0"/>
        <w:pageBreakBefore w:val="0"/>
        <w:widowControl w:val="0"/>
        <w:suppressAutoHyphens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楷体_GBK"/>
          <w:b w:val="0"/>
          <w:bCs w:val="0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/>
          <w:b w:val="0"/>
          <w:bCs w:val="0"/>
          <w:color w:val="auto"/>
          <w:kern w:val="0"/>
          <w:sz w:val="32"/>
          <w:szCs w:val="32"/>
          <w:u w:val="none"/>
          <w:lang w:val="en-US" w:eastAsia="zh-CN"/>
        </w:rPr>
        <w:t>10.建立健全尽职免责机制。加快推进全省</w:t>
      </w:r>
      <w:r>
        <w:rPr>
          <w:rFonts w:hint="eastAsia" w:ascii="Times New Roman" w:hAnsi="Times New Roman" w:eastAsia="方正仿宋_GBK"/>
          <w:b w:val="0"/>
          <w:bCs w:val="0"/>
          <w:color w:val="auto"/>
          <w:kern w:val="0"/>
          <w:sz w:val="32"/>
          <w:szCs w:val="32"/>
          <w:lang w:val="en-US" w:eastAsia="zh-CN"/>
        </w:rPr>
        <w:t>“人工智能+”行业和区域全覆盖，对未能实现预期目标或者工作偏差的单位和个人，在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kern w:val="0"/>
          <w:sz w:val="32"/>
          <w:szCs w:val="32"/>
          <w:u w:val="none"/>
          <w:lang w:val="en-US" w:eastAsia="zh-CN"/>
        </w:rPr>
        <w:t>已履职尽责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kern w:val="0"/>
          <w:sz w:val="32"/>
          <w:szCs w:val="32"/>
          <w:u w:val="none"/>
          <w:lang w:val="en" w:eastAsia="zh-CN"/>
        </w:rPr>
        <w:t>且</w:t>
      </w:r>
      <w:r>
        <w:rPr>
          <w:rFonts w:hint="eastAsia" w:ascii="Times New Roman" w:hAnsi="Times New Roman" w:eastAsia="方正仿宋_GBK"/>
          <w:b w:val="0"/>
          <w:bCs w:val="0"/>
          <w:color w:val="auto"/>
          <w:kern w:val="0"/>
          <w:sz w:val="32"/>
          <w:szCs w:val="32"/>
          <w:lang w:val="en-US" w:eastAsia="zh-CN"/>
        </w:rPr>
        <w:t>未谋取私利、不违反法律法规和政策规定条件下，依法免于追究其决策失误责任。基金管理应建立健全保护改革、鼓励探索、宽容失误、纠正偏差的容错纠错实施细则。</w:t>
      </w:r>
    </w:p>
    <w:p w14:paraId="0D6F355E">
      <w:pPr>
        <w:keepNext w:val="0"/>
        <w:keepLines w:val="0"/>
        <w:pageBreakBefore w:val="0"/>
        <w:widowControl w:val="0"/>
        <w:suppressAutoHyphens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eastAsia" w:ascii="Times New Roman" w:hAnsi="Times New Roman" w:eastAsia="方正仿宋_GBK"/>
          <w:b w:val="0"/>
          <w:bCs w:val="0"/>
          <w:color w:val="auto"/>
          <w:kern w:val="0"/>
          <w:sz w:val="32"/>
          <w:szCs w:val="32"/>
        </w:rPr>
      </w:pPr>
      <w:r>
        <w:rPr>
          <w:rFonts w:hint="eastAsia" w:ascii="Times New Roman" w:hAnsi="Times New Roman" w:eastAsia="方正仿宋_GBK"/>
          <w:b w:val="0"/>
          <w:bCs w:val="0"/>
          <w:color w:val="auto"/>
          <w:kern w:val="0"/>
          <w:sz w:val="32"/>
          <w:szCs w:val="32"/>
        </w:rPr>
        <w:t>具体实施细则由省</w:t>
      </w:r>
      <w:r>
        <w:rPr>
          <w:rFonts w:hint="eastAsia" w:ascii="Times New Roman" w:hAnsi="Times New Roman" w:eastAsia="方正仿宋_GBK"/>
          <w:b w:val="0"/>
          <w:bCs w:val="0"/>
          <w:color w:val="auto"/>
          <w:kern w:val="0"/>
          <w:sz w:val="32"/>
          <w:szCs w:val="32"/>
          <w:lang w:val="en-US" w:eastAsia="zh-CN"/>
        </w:rPr>
        <w:t>科技厅</w:t>
      </w:r>
      <w:r>
        <w:rPr>
          <w:rFonts w:hint="eastAsia" w:ascii="Times New Roman" w:hAnsi="Times New Roman" w:eastAsia="方正仿宋_GBK"/>
          <w:b w:val="0"/>
          <w:bCs w:val="0"/>
          <w:color w:val="auto"/>
          <w:kern w:val="0"/>
          <w:sz w:val="32"/>
          <w:szCs w:val="32"/>
        </w:rPr>
        <w:t>会同省财政厅制定。对皖北地区符合条件的项目，</w:t>
      </w:r>
      <w:r>
        <w:rPr>
          <w:rFonts w:hint="eastAsia" w:ascii="Times New Roman" w:hAnsi="Times New Roman" w:eastAsia="方正仿宋_GBK"/>
          <w:b w:val="0"/>
          <w:bCs w:val="0"/>
          <w:color w:val="auto"/>
          <w:kern w:val="0"/>
          <w:sz w:val="32"/>
          <w:szCs w:val="32"/>
          <w:lang w:eastAsia="zh-CN"/>
        </w:rPr>
        <w:t>支持</w:t>
      </w:r>
      <w:r>
        <w:rPr>
          <w:rFonts w:hint="eastAsia" w:ascii="Times New Roman" w:hAnsi="Times New Roman" w:eastAsia="方正仿宋_GBK"/>
          <w:b w:val="0"/>
          <w:bCs w:val="0"/>
          <w:color w:val="auto"/>
          <w:kern w:val="0"/>
          <w:sz w:val="32"/>
          <w:szCs w:val="32"/>
        </w:rPr>
        <w:t>资金可上浮20%。</w:t>
      </w:r>
    </w:p>
    <w:p w14:paraId="7AD3D1C6">
      <w:pPr>
        <w:keepNext w:val="0"/>
        <w:keepLines w:val="0"/>
        <w:pageBreakBefore w:val="0"/>
        <w:widowControl w:val="0"/>
        <w:suppressAutoHyphens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/>
          <w:lang w:val="en-US" w:eastAsia="zh-CN"/>
        </w:rPr>
      </w:pPr>
      <w:r>
        <w:rPr>
          <w:rFonts w:hint="eastAsia" w:ascii="Times New Roman" w:hAnsi="Times New Roman" w:eastAsia="方正仿宋_GBK"/>
          <w:b w:val="0"/>
          <w:bCs w:val="0"/>
          <w:color w:val="auto"/>
          <w:kern w:val="0"/>
          <w:sz w:val="32"/>
          <w:szCs w:val="32"/>
        </w:rPr>
        <w:t>本政策自发布之日起实施，</w:t>
      </w:r>
      <w:r>
        <w:rPr>
          <w:rFonts w:hint="eastAsia" w:ascii="Times New Roman" w:hAnsi="Times New Roman" w:eastAsia="方正仿宋_GBK"/>
          <w:b w:val="0"/>
          <w:bCs w:val="0"/>
          <w:color w:val="auto"/>
          <w:kern w:val="0"/>
          <w:sz w:val="32"/>
          <w:szCs w:val="32"/>
          <w:u w:val="none"/>
        </w:rPr>
        <w:t>有效期至202</w:t>
      </w:r>
      <w:r>
        <w:rPr>
          <w:rFonts w:hint="eastAsia" w:ascii="Times New Roman" w:hAnsi="Times New Roman" w:eastAsia="方正仿宋_GBK"/>
          <w:b w:val="0"/>
          <w:bCs w:val="0"/>
          <w:color w:val="auto"/>
          <w:kern w:val="0"/>
          <w:sz w:val="32"/>
          <w:szCs w:val="32"/>
          <w:u w:val="none"/>
          <w:lang w:val="en-US" w:eastAsia="zh-CN"/>
        </w:rPr>
        <w:t>7</w:t>
      </w:r>
      <w:r>
        <w:rPr>
          <w:rFonts w:hint="eastAsia" w:ascii="Times New Roman" w:hAnsi="Times New Roman" w:eastAsia="方正仿宋_GBK"/>
          <w:b w:val="0"/>
          <w:bCs w:val="0"/>
          <w:color w:val="auto"/>
          <w:kern w:val="0"/>
          <w:sz w:val="32"/>
          <w:szCs w:val="32"/>
          <w:u w:val="none"/>
        </w:rPr>
        <w:t>年12月31日</w:t>
      </w:r>
      <w:r>
        <w:rPr>
          <w:rFonts w:hint="eastAsia" w:ascii="Times New Roman" w:hAnsi="Times New Roman" w:eastAsia="方正仿宋_GBK"/>
          <w:b w:val="0"/>
          <w:bCs w:val="0"/>
          <w:color w:val="auto"/>
          <w:kern w:val="0"/>
          <w:sz w:val="32"/>
          <w:szCs w:val="32"/>
          <w:u w:val="none"/>
          <w:lang w:eastAsia="zh-CN"/>
        </w:rPr>
        <w:t>，</w:t>
      </w:r>
      <w:r>
        <w:rPr>
          <w:rFonts w:hint="eastAsia" w:ascii="Times New Roman" w:hAnsi="Times New Roman" w:eastAsia="方正仿宋_GBK"/>
          <w:b w:val="0"/>
          <w:bCs w:val="0"/>
          <w:color w:val="auto"/>
          <w:kern w:val="0"/>
          <w:sz w:val="32"/>
          <w:szCs w:val="32"/>
          <w:u w:val="none"/>
          <w:lang w:val="en-US" w:eastAsia="zh-CN"/>
        </w:rPr>
        <w:t>根据以上政策条款年度实施情况，省科技厅可对政策适当调整</w:t>
      </w:r>
      <w:r>
        <w:rPr>
          <w:rFonts w:hint="eastAsia" w:ascii="Times New Roman" w:hAnsi="Times New Roman" w:eastAsia="方正仿宋_GBK"/>
          <w:b w:val="0"/>
          <w:bCs w:val="0"/>
          <w:color w:val="auto"/>
          <w:kern w:val="0"/>
          <w:sz w:val="32"/>
          <w:szCs w:val="32"/>
          <w:u w:val="none"/>
          <w:lang w:eastAsia="zh-CN"/>
        </w:rPr>
        <w:t>。</w:t>
      </w:r>
      <w:r>
        <w:rPr>
          <w:rFonts w:hint="eastAsia" w:ascii="Times New Roman" w:hAnsi="Times New Roman" w:eastAsia="方正仿宋_GBK"/>
          <w:b w:val="0"/>
          <w:bCs w:val="0"/>
          <w:color w:val="auto"/>
          <w:kern w:val="0"/>
          <w:sz w:val="32"/>
          <w:szCs w:val="32"/>
          <w:u w:val="none"/>
          <w:lang w:val="en-US" w:eastAsia="zh-CN"/>
        </w:rPr>
        <w:t>2023年8月印发</w:t>
      </w:r>
      <w:r>
        <w:rPr>
          <w:rFonts w:hint="eastAsia" w:ascii="Times New Roman" w:hAnsi="Times New Roman" w:eastAsia="方正仿宋_GBK"/>
          <w:b w:val="0"/>
          <w:bCs w:val="0"/>
          <w:color w:val="auto"/>
          <w:kern w:val="0"/>
          <w:sz w:val="32"/>
          <w:szCs w:val="32"/>
          <w:u w:val="none"/>
          <w:lang w:eastAsia="zh-CN"/>
        </w:rPr>
        <w:t>《</w:t>
      </w:r>
      <w:r>
        <w:rPr>
          <w:rFonts w:hint="eastAsia" w:ascii="Times New Roman" w:hAnsi="Times New Roman" w:eastAsia="方正仿宋_GBK"/>
          <w:b w:val="0"/>
          <w:bCs w:val="0"/>
          <w:color w:val="auto"/>
          <w:kern w:val="0"/>
          <w:sz w:val="32"/>
          <w:szCs w:val="32"/>
          <w:u w:val="none"/>
        </w:rPr>
        <w:t>打造通用人工智能产业创新和应用高地若干政策</w:t>
      </w:r>
      <w:r>
        <w:rPr>
          <w:rFonts w:hint="eastAsia" w:ascii="Times New Roman" w:hAnsi="Times New Roman" w:eastAsia="方正仿宋_GBK"/>
          <w:b w:val="0"/>
          <w:bCs w:val="0"/>
          <w:color w:val="auto"/>
          <w:kern w:val="0"/>
          <w:sz w:val="32"/>
          <w:szCs w:val="32"/>
          <w:u w:val="none"/>
          <w:lang w:eastAsia="zh-CN"/>
        </w:rPr>
        <w:t>》</w:t>
      </w:r>
      <w:r>
        <w:rPr>
          <w:rFonts w:hint="eastAsia" w:ascii="Times New Roman" w:hAnsi="Times New Roman" w:eastAsia="方正仿宋_GBK"/>
          <w:b w:val="0"/>
          <w:bCs w:val="0"/>
          <w:color w:val="auto"/>
          <w:kern w:val="0"/>
          <w:sz w:val="32"/>
          <w:szCs w:val="32"/>
          <w:u w:val="none"/>
          <w:lang w:val="en-US" w:eastAsia="zh-CN"/>
        </w:rPr>
        <w:t>同时废止，对已享受政策并分期执行的，按原政策规定实施。</w:t>
      </w:r>
    </w:p>
    <w:p w14:paraId="55136439"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NumType w:fmt="decimal" w:start="2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066D587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C399B47">
                          <w:pPr>
                            <w:pStyle w:val="4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C399B47">
                    <w:pPr>
                      <w:pStyle w:val="4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4B325A7"/>
    <w:rsid w:val="14B32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next w:val="3"/>
    <w:qFormat/>
    <w:uiPriority w:val="0"/>
    <w:pPr>
      <w:widowControl w:val="0"/>
      <w:spacing w:before="0" w:after="140" w:line="276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Body Text First Indent"/>
    <w:semiHidden/>
    <w:qFormat/>
    <w:uiPriority w:val="0"/>
    <w:pPr>
      <w:widowControl w:val="0"/>
      <w:spacing w:before="0" w:after="140" w:line="276" w:lineRule="auto"/>
      <w:ind w:firstLine="420" w:firstLineChars="100"/>
      <w:jc w:val="both"/>
    </w:pPr>
    <w:rPr>
      <w:rFonts w:ascii="等线" w:hAnsi="等线" w:eastAsia="Times New Roman" w:cstheme="minorBidi"/>
      <w:kern w:val="2"/>
      <w:sz w:val="21"/>
      <w:szCs w:val="22"/>
      <w:lang w:val="en-US" w:eastAsia="zh-CN" w:bidi="ar-SA"/>
    </w:rPr>
  </w:style>
  <w:style w:type="paragraph" w:styleId="4">
    <w:name w:val="footer"/>
    <w:qFormat/>
    <w:uiPriority w:val="0"/>
    <w:pPr>
      <w:widowControl w:val="0"/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kern w:val="2"/>
      <w:sz w:val="18"/>
      <w:szCs w:val="24"/>
      <w:lang w:val="en-US" w:eastAsia="zh-CN" w:bidi="ar-SA"/>
    </w:rPr>
  </w:style>
  <w:style w:type="paragraph" w:styleId="5">
    <w:name w:val="Body Text First Indent 2"/>
    <w:next w:val="2"/>
    <w:qFormat/>
    <w:uiPriority w:val="0"/>
    <w:pPr>
      <w:widowControl w:val="0"/>
      <w:suppressAutoHyphens/>
      <w:bidi w:val="0"/>
      <w:spacing w:line="560" w:lineRule="exact"/>
      <w:ind w:firstLine="420"/>
      <w:jc w:val="both"/>
    </w:pPr>
    <w:rPr>
      <w:rFonts w:ascii="仿宋_GB2312" w:hAnsi="仿宋" w:eastAsia="仿宋_GB2312" w:cs="Times New Roman"/>
      <w:color w:val="auto"/>
      <w:kern w:val="2"/>
      <w:sz w:val="32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2025-05-26T09:49:00Z</dcterms:created>
  <dc:creator>何小包蛋</dc:creator>
  <cp:lastModifiedBy>何小包蛋</cp:lastModifiedBy>
  <dcterms:modified xsi:type="dcterms:W3CDTF">2025-05-26T09:50:17Z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0F1123A477FC48B4B6822CD93503C137_11</vt:lpwstr>
  </property>
  <property fmtid="{D5CDD505-2E9C-101B-9397-08002B2CF9AE}" pid="4" name="KSOTemplateDocerSaveRecord">
    <vt:lpwstr>eyJoZGlkIjoiN2Y5YjFhM2YzYjM5OGRhNDhmMTBjZGVlMWMyM2QzYzMiLCJ1c2VySWQiOiIxNTc4NzU0Mjk3In0=</vt:lpwstr>
  </property>
</Properties>
</file>